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942FD0" w:rsidRDefault="00607D9D" w:rsidP="00607D9D">
      <w:pPr>
        <w:tabs>
          <w:tab w:val="left" w:pos="9540"/>
        </w:tabs>
        <w:ind w:left="5387"/>
        <w:rPr>
          <w:szCs w:val="24"/>
          <w:lang w:eastAsia="lt-LT"/>
        </w:rPr>
      </w:pPr>
      <w:r w:rsidRPr="00942FD0">
        <w:rPr>
          <w:szCs w:val="24"/>
          <w:lang w:eastAsia="lt-LT"/>
        </w:rPr>
        <w:t>Biudžeto vykdymo ataskaitų rinkinių rengimo taisyklių</w:t>
      </w:r>
    </w:p>
    <w:p w:rsidR="001C6C8D" w:rsidRPr="00942FD0" w:rsidRDefault="001C6C8D" w:rsidP="003C545A">
      <w:pPr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 xml:space="preserve">ŠIAULIŲ MIESTO SAVIVALDYBĖS </w:t>
      </w:r>
      <w:r w:rsidR="00B450FB" w:rsidRPr="00942FD0">
        <w:rPr>
          <w:b/>
          <w:szCs w:val="24"/>
          <w:lang w:eastAsia="lt-LT"/>
        </w:rPr>
        <w:t xml:space="preserve">VISUOMENĖS </w:t>
      </w:r>
      <w:r w:rsidRPr="00942FD0">
        <w:rPr>
          <w:b/>
          <w:szCs w:val="24"/>
          <w:lang w:eastAsia="lt-LT"/>
        </w:rPr>
        <w:t>SVEIKATOS BIURAS</w:t>
      </w:r>
    </w:p>
    <w:p w:rsidR="009972FA" w:rsidRPr="00942FD0" w:rsidRDefault="008D0018" w:rsidP="003C545A">
      <w:pPr>
        <w:jc w:val="center"/>
        <w:rPr>
          <w:bCs/>
          <w:szCs w:val="24"/>
          <w:lang w:eastAsia="lt-LT"/>
        </w:rPr>
      </w:pPr>
      <w:r w:rsidRPr="00942FD0">
        <w:rPr>
          <w:bCs/>
          <w:szCs w:val="24"/>
          <w:lang w:eastAsia="lt-LT"/>
        </w:rPr>
        <w:t>(dokumento sudarytojo pavadinimas)</w:t>
      </w:r>
    </w:p>
    <w:p w:rsidR="009972FA" w:rsidRPr="00942FD0" w:rsidRDefault="00812E50">
      <w:pPr>
        <w:jc w:val="center"/>
        <w:rPr>
          <w:b/>
          <w:bCs/>
          <w:szCs w:val="24"/>
          <w:lang w:eastAsia="lt-LT"/>
        </w:rPr>
      </w:pPr>
      <w:r>
        <w:rPr>
          <w:b/>
          <w:szCs w:val="24"/>
          <w:lang w:eastAsia="lt-LT"/>
        </w:rPr>
        <w:t xml:space="preserve"> </w:t>
      </w:r>
      <w:r w:rsidR="005A5E7F">
        <w:rPr>
          <w:b/>
          <w:szCs w:val="24"/>
          <w:lang w:eastAsia="lt-LT"/>
        </w:rPr>
        <w:t xml:space="preserve">METINĖ </w:t>
      </w:r>
      <w:r w:rsidR="00C27508" w:rsidRPr="00942FD0">
        <w:rPr>
          <w:b/>
          <w:bCs/>
          <w:szCs w:val="24"/>
          <w:lang w:eastAsia="lt-LT"/>
        </w:rPr>
        <w:t xml:space="preserve">BIUDŽETO VYKDYMO </w:t>
      </w:r>
    </w:p>
    <w:p w:rsidR="004F511D" w:rsidRPr="00942FD0" w:rsidRDefault="00C27508" w:rsidP="00547CEA">
      <w:pPr>
        <w:jc w:val="center"/>
        <w:rPr>
          <w:bCs/>
          <w:szCs w:val="24"/>
          <w:lang w:eastAsia="lt-LT"/>
        </w:rPr>
      </w:pPr>
      <w:r w:rsidRPr="00942FD0">
        <w:rPr>
          <w:bCs/>
          <w:szCs w:val="24"/>
          <w:lang w:eastAsia="lt-LT"/>
        </w:rPr>
        <w:t>(I ketvirčio, pusmečio, 9 mėnesių, metinė)</w:t>
      </w:r>
    </w:p>
    <w:p w:rsidR="009972FA" w:rsidRPr="00942FD0" w:rsidRDefault="008D0018">
      <w:pPr>
        <w:jc w:val="center"/>
        <w:rPr>
          <w:b/>
          <w:bCs/>
          <w:szCs w:val="24"/>
          <w:lang w:eastAsia="lt-LT"/>
        </w:rPr>
      </w:pPr>
      <w:r w:rsidRPr="00942FD0">
        <w:rPr>
          <w:b/>
          <w:bCs/>
          <w:szCs w:val="24"/>
          <w:lang w:eastAsia="lt-LT"/>
        </w:rPr>
        <w:t>ATASKAITŲ RINKINIO</w:t>
      </w:r>
    </w:p>
    <w:p w:rsidR="009972FA" w:rsidRPr="00942FD0" w:rsidRDefault="008D0018">
      <w:pPr>
        <w:jc w:val="center"/>
        <w:rPr>
          <w:b/>
          <w:bCs/>
          <w:szCs w:val="24"/>
          <w:lang w:eastAsia="lt-LT"/>
        </w:rPr>
      </w:pPr>
      <w:r w:rsidRPr="00942FD0">
        <w:rPr>
          <w:b/>
          <w:bCs/>
          <w:szCs w:val="24"/>
          <w:lang w:eastAsia="lt-LT"/>
        </w:rPr>
        <w:t>AIŠKINAMASIS RAŠTAS</w:t>
      </w:r>
    </w:p>
    <w:p w:rsidR="009972FA" w:rsidRPr="00942FD0" w:rsidRDefault="009972FA">
      <w:pPr>
        <w:jc w:val="center"/>
        <w:rPr>
          <w:szCs w:val="24"/>
          <w:lang w:eastAsia="lt-LT"/>
        </w:rPr>
      </w:pPr>
    </w:p>
    <w:p w:rsidR="009972FA" w:rsidRPr="00942FD0" w:rsidRDefault="00C27508">
      <w:pPr>
        <w:jc w:val="center"/>
        <w:rPr>
          <w:szCs w:val="24"/>
          <w:lang w:eastAsia="lt-LT"/>
        </w:rPr>
      </w:pPr>
      <w:r w:rsidRPr="00942FD0">
        <w:rPr>
          <w:szCs w:val="24"/>
          <w:lang w:eastAsia="lt-LT"/>
        </w:rPr>
        <w:t>202</w:t>
      </w:r>
      <w:r w:rsidR="00612901">
        <w:rPr>
          <w:szCs w:val="24"/>
          <w:lang w:eastAsia="lt-LT"/>
        </w:rPr>
        <w:t>6</w:t>
      </w:r>
      <w:r w:rsidRPr="00942FD0">
        <w:rPr>
          <w:szCs w:val="24"/>
          <w:lang w:eastAsia="lt-LT"/>
        </w:rPr>
        <w:t>-</w:t>
      </w:r>
      <w:r w:rsidR="00612901">
        <w:rPr>
          <w:szCs w:val="24"/>
          <w:lang w:eastAsia="lt-LT"/>
        </w:rPr>
        <w:t>01</w:t>
      </w:r>
      <w:r w:rsidR="003F6EAD">
        <w:rPr>
          <w:szCs w:val="24"/>
          <w:lang w:eastAsia="lt-LT"/>
        </w:rPr>
        <w:t>-</w:t>
      </w:r>
      <w:r w:rsidR="00612901">
        <w:rPr>
          <w:szCs w:val="24"/>
          <w:lang w:eastAsia="lt-LT"/>
        </w:rPr>
        <w:t>13</w:t>
      </w:r>
      <w:r w:rsidR="009A1A2D" w:rsidRPr="00942FD0">
        <w:rPr>
          <w:szCs w:val="24"/>
          <w:lang w:eastAsia="lt-LT"/>
        </w:rPr>
        <w:t xml:space="preserve"> </w:t>
      </w:r>
      <w:r w:rsidRPr="00942FD0">
        <w:rPr>
          <w:szCs w:val="24"/>
          <w:lang w:eastAsia="lt-LT"/>
        </w:rPr>
        <w:t xml:space="preserve">Nr. </w:t>
      </w:r>
      <w:r w:rsidR="005A5E7F">
        <w:rPr>
          <w:szCs w:val="24"/>
          <w:lang w:eastAsia="lt-LT"/>
        </w:rPr>
        <w:t>4</w:t>
      </w:r>
    </w:p>
    <w:p w:rsidR="009972FA" w:rsidRPr="00942FD0" w:rsidRDefault="00547CEA">
      <w:pPr>
        <w:ind w:left="3828"/>
        <w:rPr>
          <w:szCs w:val="24"/>
          <w:lang w:eastAsia="lt-LT"/>
        </w:rPr>
      </w:pPr>
      <w:r w:rsidRPr="00942FD0">
        <w:rPr>
          <w:szCs w:val="24"/>
          <w:lang w:eastAsia="lt-LT"/>
        </w:rPr>
        <w:t xml:space="preserve">             </w:t>
      </w:r>
      <w:r w:rsidR="008D0018" w:rsidRPr="00942FD0">
        <w:rPr>
          <w:szCs w:val="24"/>
          <w:lang w:eastAsia="lt-LT"/>
        </w:rPr>
        <w:t>(data)</w:t>
      </w:r>
    </w:p>
    <w:p w:rsidR="009972FA" w:rsidRPr="00942FD0" w:rsidRDefault="009972FA" w:rsidP="003C545A">
      <w:pPr>
        <w:rPr>
          <w:szCs w:val="24"/>
          <w:lang w:eastAsia="lt-LT"/>
        </w:rPr>
      </w:pPr>
    </w:p>
    <w:p w:rsidR="009972FA" w:rsidRPr="00942FD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I SKYRIUS</w:t>
      </w:r>
    </w:p>
    <w:p w:rsidR="009972FA" w:rsidRPr="00942FD0" w:rsidRDefault="008D0018">
      <w:pPr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BENDROSIOS NUOSTATOS</w:t>
      </w:r>
    </w:p>
    <w:p w:rsidR="009972FA" w:rsidRPr="00942FD0" w:rsidRDefault="009972FA">
      <w:pPr>
        <w:jc w:val="both"/>
        <w:rPr>
          <w:b/>
          <w:szCs w:val="24"/>
          <w:lang w:eastAsia="lt-LT"/>
        </w:rPr>
      </w:pPr>
    </w:p>
    <w:p w:rsidR="001069B4" w:rsidRPr="00942FD0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>Biudžeto vykdymo ataskaitų rinkinys yra parengtas pagal šiuos teisės aktus:</w:t>
      </w:r>
    </w:p>
    <w:p w:rsidR="001069B4" w:rsidRPr="00942FD0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 xml:space="preserve">LR </w:t>
      </w:r>
      <w:r w:rsidR="001069B4" w:rsidRPr="00942FD0">
        <w:rPr>
          <w:i/>
          <w:iCs/>
          <w:szCs w:val="24"/>
          <w:lang w:eastAsia="lt-LT"/>
        </w:rPr>
        <w:t>Viešojo sektoriaus atskaitomybės įstatymas;</w:t>
      </w:r>
    </w:p>
    <w:p w:rsidR="001069B4" w:rsidRPr="00942FD0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 xml:space="preserve">LR </w:t>
      </w:r>
      <w:r w:rsidR="001069B4" w:rsidRPr="00942FD0">
        <w:rPr>
          <w:i/>
          <w:iCs/>
          <w:szCs w:val="24"/>
          <w:lang w:eastAsia="lt-LT"/>
        </w:rPr>
        <w:t>Biudžeto sandaros įstatymas;</w:t>
      </w:r>
    </w:p>
    <w:p w:rsidR="001069B4" w:rsidRPr="00942FD0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 xml:space="preserve">LR </w:t>
      </w:r>
      <w:r w:rsidR="001069B4" w:rsidRPr="00942FD0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942FD0">
        <w:rPr>
          <w:i/>
          <w:iCs/>
          <w:szCs w:val="24"/>
          <w:lang w:eastAsia="lt-LT"/>
        </w:rPr>
        <w:t>.</w:t>
      </w:r>
    </w:p>
    <w:p w:rsidR="00323B61" w:rsidRPr="00942FD0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 xml:space="preserve">Ataskaitų rinkinio rengimo tikslas – </w:t>
      </w:r>
      <w:r w:rsidR="00C4239D" w:rsidRPr="00942FD0">
        <w:rPr>
          <w:szCs w:val="24"/>
          <w:lang w:eastAsia="lt-LT"/>
        </w:rPr>
        <w:t>pateikti informaciją</w:t>
      </w:r>
      <w:r w:rsidR="001B2786" w:rsidRPr="00942FD0">
        <w:rPr>
          <w:szCs w:val="24"/>
          <w:lang w:eastAsia="lt-LT"/>
        </w:rPr>
        <w:t xml:space="preserve"> Savivaldybei ir visuomenei</w:t>
      </w:r>
      <w:r w:rsidR="00C4239D" w:rsidRPr="00942FD0">
        <w:rPr>
          <w:szCs w:val="24"/>
          <w:lang w:eastAsia="lt-LT"/>
        </w:rPr>
        <w:t xml:space="preserve"> apie </w:t>
      </w:r>
      <w:r w:rsidR="009D4092" w:rsidRPr="00942FD0">
        <w:rPr>
          <w:szCs w:val="24"/>
          <w:lang w:eastAsia="lt-LT"/>
        </w:rPr>
        <w:t>biudžetinės įstaigos</w:t>
      </w:r>
      <w:r w:rsidR="00904B58" w:rsidRPr="00942FD0">
        <w:rPr>
          <w:szCs w:val="24"/>
          <w:lang w:eastAsia="lt-LT"/>
        </w:rPr>
        <w:t xml:space="preserve"> biudžeto vykdymą, </w:t>
      </w:r>
      <w:r w:rsidR="00C4239D" w:rsidRPr="00942FD0">
        <w:rPr>
          <w:szCs w:val="24"/>
          <w:lang w:eastAsia="lt-LT"/>
        </w:rPr>
        <w:t>teikiant viešąsias paslaugas.</w:t>
      </w:r>
    </w:p>
    <w:p w:rsidR="00C27508" w:rsidRPr="00942FD0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 xml:space="preserve">Už ataskaitų rinkinio parengimą atsakinga BĮ </w:t>
      </w:r>
      <w:r w:rsidRPr="00942FD0">
        <w:rPr>
          <w:rFonts w:eastAsia="Calibri"/>
          <w:szCs w:val="24"/>
        </w:rPr>
        <w:t>Šiaulių apskaitos centras</w:t>
      </w:r>
      <w:r w:rsidR="005A2B1F" w:rsidRPr="00942FD0">
        <w:rPr>
          <w:rFonts w:eastAsia="Calibri"/>
          <w:szCs w:val="24"/>
        </w:rPr>
        <w:t>.</w:t>
      </w:r>
    </w:p>
    <w:p w:rsidR="009972FA" w:rsidRPr="00942FD0" w:rsidRDefault="009972FA">
      <w:pPr>
        <w:jc w:val="both"/>
        <w:rPr>
          <w:szCs w:val="24"/>
          <w:lang w:eastAsia="lt-LT"/>
        </w:rPr>
      </w:pPr>
    </w:p>
    <w:p w:rsidR="009972FA" w:rsidRPr="00942FD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942FD0">
        <w:rPr>
          <w:b/>
          <w:caps/>
          <w:szCs w:val="24"/>
          <w:lang w:eastAsia="lt-LT"/>
        </w:rPr>
        <w:t>II skyrius</w:t>
      </w:r>
    </w:p>
    <w:p w:rsidR="009972FA" w:rsidRPr="00942FD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942FD0">
        <w:rPr>
          <w:b/>
          <w:caps/>
          <w:szCs w:val="24"/>
          <w:lang w:eastAsia="lt-LT"/>
        </w:rPr>
        <w:t>Apskaitos politika</w:t>
      </w:r>
    </w:p>
    <w:p w:rsidR="009972FA" w:rsidRPr="00942FD0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942FD0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subjekto – įstaiga yra laikoma atskiru apskaitos vienetu;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942FD0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942FD0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FA3753" w:rsidRDefault="00FA3753" w:rsidP="005A2B1F">
      <w:pPr>
        <w:jc w:val="center"/>
        <w:rPr>
          <w:b/>
          <w:szCs w:val="24"/>
          <w:lang w:eastAsia="lt-LT"/>
        </w:rPr>
      </w:pPr>
    </w:p>
    <w:p w:rsidR="009972FA" w:rsidRPr="00942FD0" w:rsidRDefault="008D0018" w:rsidP="005A2B1F">
      <w:pPr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III SKYRIUS</w:t>
      </w:r>
    </w:p>
    <w:p w:rsidR="009972FA" w:rsidRPr="00942FD0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BIUDŽETINIŲ ĮSTAIGŲ PAJAMŲ PLANO VYKDYMAS</w:t>
      </w:r>
    </w:p>
    <w:p w:rsidR="009972FA" w:rsidRPr="00942FD0" w:rsidRDefault="009972FA">
      <w:pPr>
        <w:jc w:val="center"/>
        <w:rPr>
          <w:b/>
          <w:szCs w:val="24"/>
          <w:lang w:eastAsia="lt-LT"/>
        </w:rPr>
      </w:pPr>
    </w:p>
    <w:p w:rsidR="001069B4" w:rsidRPr="00942FD0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>Informacij</w:t>
      </w:r>
      <w:r w:rsidR="00E94036" w:rsidRPr="00942FD0">
        <w:rPr>
          <w:szCs w:val="24"/>
          <w:lang w:eastAsia="lt-LT"/>
        </w:rPr>
        <w:t>a</w:t>
      </w:r>
      <w:r w:rsidRPr="00942FD0">
        <w:rPr>
          <w:szCs w:val="24"/>
          <w:lang w:eastAsia="lt-LT"/>
        </w:rPr>
        <w:t xml:space="preserve"> apie biudžetinių įstaigų pajamas pagal 20</w:t>
      </w:r>
      <w:r w:rsidR="00C27508" w:rsidRPr="00942FD0">
        <w:rPr>
          <w:szCs w:val="24"/>
          <w:lang w:eastAsia="lt-LT"/>
        </w:rPr>
        <w:t>25</w:t>
      </w:r>
      <w:r w:rsidRPr="00942FD0">
        <w:rPr>
          <w:szCs w:val="24"/>
          <w:lang w:eastAsia="lt-LT"/>
        </w:rPr>
        <w:t xml:space="preserve"> m. </w:t>
      </w:r>
      <w:r w:rsidR="004764DF">
        <w:rPr>
          <w:szCs w:val="24"/>
          <w:lang w:eastAsia="lt-LT"/>
        </w:rPr>
        <w:t>gruodžio</w:t>
      </w:r>
      <w:r w:rsidR="00C27508" w:rsidRPr="00942FD0">
        <w:rPr>
          <w:szCs w:val="24"/>
          <w:lang w:eastAsia="lt-LT"/>
        </w:rPr>
        <w:t xml:space="preserve"> 3</w:t>
      </w:r>
      <w:r w:rsidR="004764DF">
        <w:rPr>
          <w:szCs w:val="24"/>
          <w:lang w:eastAsia="lt-LT"/>
        </w:rPr>
        <w:t>1</w:t>
      </w:r>
      <w:r w:rsidRPr="00942FD0">
        <w:rPr>
          <w:szCs w:val="24"/>
          <w:lang w:eastAsia="lt-LT"/>
        </w:rPr>
        <w:t xml:space="preserve"> d. duomenis</w:t>
      </w:r>
      <w:r w:rsidR="00E94036" w:rsidRPr="00942FD0">
        <w:rPr>
          <w:szCs w:val="24"/>
          <w:lang w:eastAsia="lt-LT"/>
        </w:rPr>
        <w:t xml:space="preserve"> yra pateikiama</w:t>
      </w:r>
      <w:r w:rsidRPr="00942FD0">
        <w:rPr>
          <w:szCs w:val="24"/>
          <w:lang w:eastAsia="lt-LT"/>
        </w:rPr>
        <w:t xml:space="preserve"> form</w:t>
      </w:r>
      <w:r w:rsidR="00E94036" w:rsidRPr="00942FD0">
        <w:rPr>
          <w:szCs w:val="24"/>
          <w:lang w:eastAsia="lt-LT"/>
        </w:rPr>
        <w:t>oje</w:t>
      </w:r>
      <w:r w:rsidRPr="00942FD0">
        <w:rPr>
          <w:szCs w:val="24"/>
          <w:lang w:eastAsia="lt-LT"/>
        </w:rPr>
        <w:t xml:space="preserve"> Nr. 1</w:t>
      </w:r>
      <w:r w:rsidR="00E94036" w:rsidRPr="00942FD0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942FD0" w:rsidRDefault="001069B4" w:rsidP="001069B4">
      <w:pPr>
        <w:ind w:firstLine="993"/>
        <w:jc w:val="both"/>
        <w:rPr>
          <w:szCs w:val="24"/>
        </w:rPr>
      </w:pPr>
      <w:r w:rsidRPr="00942FD0">
        <w:rPr>
          <w:szCs w:val="24"/>
        </w:rPr>
        <w:t>Įstaigos gaunamų pajamų plano ataskaitiniam laikotarpiui vykdymas / nevykdymas ir priežastys pagal pajamų rūšį.</w:t>
      </w:r>
    </w:p>
    <w:p w:rsidR="001069B4" w:rsidRPr="00942FD0" w:rsidRDefault="001069B4" w:rsidP="001069B4">
      <w:pPr>
        <w:widowControl w:val="0"/>
        <w:ind w:left="5040" w:firstLine="720"/>
        <w:jc w:val="right"/>
        <w:outlineLvl w:val="0"/>
        <w:rPr>
          <w:szCs w:val="24"/>
        </w:rPr>
      </w:pPr>
      <w:r w:rsidRPr="00942FD0">
        <w:rPr>
          <w:szCs w:val="24"/>
        </w:rPr>
        <w:t>(Tikslumas – eurai, ct)</w:t>
      </w:r>
    </w:p>
    <w:p w:rsidR="00303668" w:rsidRPr="00942FD0" w:rsidRDefault="00303668" w:rsidP="001069B4">
      <w:pPr>
        <w:widowControl w:val="0"/>
        <w:ind w:left="5040" w:firstLine="720"/>
        <w:jc w:val="right"/>
        <w:outlineLvl w:val="0"/>
        <w:rPr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681"/>
        <w:gridCol w:w="5947"/>
      </w:tblGrid>
      <w:tr w:rsidR="00F67EA0" w:rsidRPr="00942FD0" w:rsidTr="00942FD0">
        <w:tc>
          <w:tcPr>
            <w:tcW w:w="3681" w:type="dxa"/>
          </w:tcPr>
          <w:p w:rsidR="001069B4" w:rsidRPr="00942FD0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Lėšų šaltinis</w:t>
            </w:r>
          </w:p>
        </w:tc>
        <w:tc>
          <w:tcPr>
            <w:tcW w:w="5947" w:type="dxa"/>
          </w:tcPr>
          <w:p w:rsidR="001069B4" w:rsidRPr="00942FD0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Plano </w:t>
            </w:r>
            <w:r w:rsidR="00323B61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vykdymo / </w:t>
            </w: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nevykdymo priežastys</w:t>
            </w:r>
          </w:p>
        </w:tc>
      </w:tr>
      <w:tr w:rsidR="00F67EA0" w:rsidRPr="00942FD0" w:rsidTr="00942FD0">
        <w:tc>
          <w:tcPr>
            <w:tcW w:w="3681" w:type="dxa"/>
          </w:tcPr>
          <w:p w:rsidR="001069B4" w:rsidRPr="00942FD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32 </w:t>
            </w:r>
          </w:p>
        </w:tc>
        <w:tc>
          <w:tcPr>
            <w:tcW w:w="5947" w:type="dxa"/>
          </w:tcPr>
          <w:p w:rsidR="001069B4" w:rsidRPr="00942FD0" w:rsidRDefault="002B2A32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Pla</w:t>
            </w:r>
            <w:r w:rsidR="00EF5EB1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nas viršytas </w:t>
            </w:r>
            <w:r w:rsidR="00942FD0" w:rsidRPr="00942FD0">
              <w:rPr>
                <w:rFonts w:ascii="Times New Roman" w:hAnsi="Times New Roman"/>
                <w:sz w:val="24"/>
                <w:szCs w:val="24"/>
                <w:lang w:val="lt-LT"/>
              </w:rPr>
              <w:t>–</w:t>
            </w:r>
            <w:r w:rsidR="00EF5EB1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r w:rsidR="005A5E7F">
              <w:rPr>
                <w:rFonts w:ascii="Times New Roman" w:hAnsi="Times New Roman"/>
                <w:sz w:val="24"/>
                <w:szCs w:val="24"/>
                <w:lang w:val="lt-LT"/>
              </w:rPr>
              <w:t>320,</w:t>
            </w:r>
            <w:r w:rsidR="00E66BF6">
              <w:rPr>
                <w:rFonts w:ascii="Times New Roman" w:hAnsi="Times New Roman"/>
                <w:sz w:val="24"/>
                <w:szCs w:val="24"/>
                <w:lang w:val="lt-LT"/>
              </w:rPr>
              <w:t>00</w:t>
            </w:r>
            <w:r w:rsidR="00610222"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surinkta daugiau nei planuota.</w:t>
            </w:r>
          </w:p>
        </w:tc>
      </w:tr>
      <w:tr w:rsidR="00F67EA0" w:rsidRPr="00942FD0" w:rsidTr="00942FD0">
        <w:tc>
          <w:tcPr>
            <w:tcW w:w="3681" w:type="dxa"/>
          </w:tcPr>
          <w:p w:rsidR="001069B4" w:rsidRPr="00942FD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33 </w:t>
            </w:r>
          </w:p>
        </w:tc>
        <w:tc>
          <w:tcPr>
            <w:tcW w:w="5947" w:type="dxa"/>
          </w:tcPr>
          <w:p w:rsidR="001069B4" w:rsidRPr="00942FD0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1069B4" w:rsidRPr="00942FD0" w:rsidRDefault="001069B4" w:rsidP="001069B4">
      <w:pPr>
        <w:widowControl w:val="0"/>
        <w:jc w:val="both"/>
        <w:outlineLvl w:val="0"/>
        <w:rPr>
          <w:szCs w:val="24"/>
        </w:rPr>
      </w:pPr>
    </w:p>
    <w:p w:rsidR="009972FA" w:rsidRPr="00942FD0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942FD0">
        <w:rPr>
          <w:b/>
          <w:szCs w:val="24"/>
          <w:lang w:eastAsia="lt-LT"/>
        </w:rPr>
        <w:lastRenderedPageBreak/>
        <w:t>IV</w:t>
      </w:r>
      <w:r w:rsidRPr="00942FD0">
        <w:rPr>
          <w:szCs w:val="24"/>
          <w:lang w:eastAsia="lt-LT"/>
        </w:rPr>
        <w:t xml:space="preserve"> </w:t>
      </w:r>
      <w:r w:rsidRPr="00942FD0">
        <w:rPr>
          <w:b/>
          <w:szCs w:val="24"/>
          <w:lang w:eastAsia="lt-LT"/>
        </w:rPr>
        <w:t>SKYRIUS</w:t>
      </w:r>
    </w:p>
    <w:p w:rsidR="009972FA" w:rsidRPr="00942FD0" w:rsidRDefault="008D0018">
      <w:pPr>
        <w:jc w:val="center"/>
        <w:rPr>
          <w:b/>
          <w:szCs w:val="24"/>
          <w:lang w:eastAsia="lt-LT"/>
        </w:rPr>
      </w:pPr>
      <w:r w:rsidRPr="00942FD0">
        <w:rPr>
          <w:b/>
          <w:szCs w:val="24"/>
          <w:lang w:eastAsia="lt-LT"/>
        </w:rPr>
        <w:t>BIUDŽETO IŠLAIDŲ PLANO VYKDYMAS</w:t>
      </w:r>
    </w:p>
    <w:p w:rsidR="009972FA" w:rsidRPr="00942FD0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5A2B1F" w:rsidRPr="00942FD0" w:rsidRDefault="00E769C6" w:rsidP="002B2A32">
      <w:pPr>
        <w:pStyle w:val="Sraopastraipa"/>
        <w:numPr>
          <w:ilvl w:val="0"/>
          <w:numId w:val="3"/>
        </w:numPr>
        <w:rPr>
          <w:szCs w:val="24"/>
        </w:rPr>
      </w:pPr>
      <w:r w:rsidRPr="00942FD0">
        <w:rPr>
          <w:szCs w:val="24"/>
        </w:rPr>
        <w:t>Biudžeto asignavimų nepanaudojimo priežastys</w:t>
      </w:r>
      <w:r w:rsidR="005A2B1F" w:rsidRPr="00942FD0">
        <w:rPr>
          <w:szCs w:val="24"/>
        </w:rPr>
        <w:t>.</w:t>
      </w:r>
      <w:r w:rsidRPr="00942FD0">
        <w:rPr>
          <w:szCs w:val="24"/>
        </w:rPr>
        <w:t xml:space="preserve"> </w:t>
      </w:r>
      <w:r w:rsidRPr="00942FD0">
        <w:rPr>
          <w:szCs w:val="24"/>
        </w:rPr>
        <w:tab/>
        <w:t xml:space="preserve">             </w:t>
      </w:r>
    </w:p>
    <w:p w:rsidR="004B7965" w:rsidRPr="00942FD0" w:rsidRDefault="004B7965" w:rsidP="005A2B1F">
      <w:pPr>
        <w:ind w:left="5192" w:firstLine="1298"/>
        <w:jc w:val="right"/>
        <w:rPr>
          <w:szCs w:val="24"/>
        </w:rPr>
      </w:pPr>
      <w:r w:rsidRPr="00942FD0">
        <w:rPr>
          <w:szCs w:val="24"/>
        </w:rPr>
        <w:t>(Reikšminga suma – 2000 €)</w:t>
      </w:r>
    </w:p>
    <w:p w:rsidR="004B7965" w:rsidRPr="00942FD0" w:rsidRDefault="004B7965" w:rsidP="00E769C6">
      <w:pPr>
        <w:widowControl w:val="0"/>
        <w:ind w:left="6490" w:firstLine="1298"/>
        <w:jc w:val="center"/>
        <w:outlineLvl w:val="0"/>
        <w:rPr>
          <w:szCs w:val="24"/>
        </w:rPr>
      </w:pPr>
      <w:r w:rsidRPr="00942FD0">
        <w:rPr>
          <w:szCs w:val="24"/>
        </w:rPr>
        <w:t>(Tikslumas – eurai, ct)</w:t>
      </w:r>
    </w:p>
    <w:p w:rsidR="005A2B1F" w:rsidRPr="00942FD0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Ind w:w="-147" w:type="dxa"/>
        <w:tblLook w:val="04A0" w:firstRow="1" w:lastRow="0" w:firstColumn="1" w:lastColumn="0" w:noHBand="0" w:noVBand="1"/>
      </w:tblPr>
      <w:tblGrid>
        <w:gridCol w:w="1084"/>
        <w:gridCol w:w="1590"/>
        <w:gridCol w:w="1503"/>
        <w:gridCol w:w="5598"/>
      </w:tblGrid>
      <w:tr w:rsidR="00F67EA0" w:rsidRPr="00942FD0" w:rsidTr="0022780A">
        <w:trPr>
          <w:tblHeader/>
        </w:trPr>
        <w:tc>
          <w:tcPr>
            <w:tcW w:w="1084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590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5598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22780A" w:rsidRPr="00942FD0" w:rsidTr="0022780A">
        <w:trPr>
          <w:trHeight w:val="304"/>
        </w:trPr>
        <w:tc>
          <w:tcPr>
            <w:tcW w:w="1084" w:type="dxa"/>
          </w:tcPr>
          <w:p w:rsidR="0022780A" w:rsidRPr="00942FD0" w:rsidRDefault="0022780A" w:rsidP="0022780A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590" w:type="dxa"/>
          </w:tcPr>
          <w:p w:rsidR="0022780A" w:rsidRPr="00942FD0" w:rsidRDefault="0022780A" w:rsidP="0022780A">
            <w:pPr>
              <w:widowControl w:val="0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2</w:t>
            </w:r>
            <w:r w:rsidR="005A5E7F">
              <w:rPr>
                <w:rFonts w:ascii="Times New Roman" w:hAnsi="Times New Roman"/>
                <w:sz w:val="24"/>
                <w:szCs w:val="24"/>
                <w:lang w:val="lt-LT"/>
              </w:rPr>
              <w:t>760,45</w:t>
            </w:r>
          </w:p>
        </w:tc>
        <w:tc>
          <w:tcPr>
            <w:tcW w:w="1503" w:type="dxa"/>
          </w:tcPr>
          <w:p w:rsidR="0022780A" w:rsidRPr="00942FD0" w:rsidRDefault="0022780A" w:rsidP="0022780A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5598" w:type="dxa"/>
          </w:tcPr>
          <w:p w:rsidR="0022780A" w:rsidRPr="00942FD0" w:rsidRDefault="0022780A" w:rsidP="0022780A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Sunaudota pagal poreikį</w:t>
            </w:r>
          </w:p>
        </w:tc>
      </w:tr>
      <w:tr w:rsidR="0022780A" w:rsidRPr="00942FD0" w:rsidTr="0022780A">
        <w:trPr>
          <w:trHeight w:val="340"/>
        </w:trPr>
        <w:tc>
          <w:tcPr>
            <w:tcW w:w="1084" w:type="dxa"/>
          </w:tcPr>
          <w:p w:rsidR="0022780A" w:rsidRPr="00942FD0" w:rsidRDefault="0022780A" w:rsidP="0022780A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590" w:type="dxa"/>
          </w:tcPr>
          <w:p w:rsidR="0022780A" w:rsidRPr="00942FD0" w:rsidRDefault="00D13CB5" w:rsidP="0022780A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162</w:t>
            </w:r>
            <w:r w:rsidR="00FA375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000,00</w:t>
            </w:r>
          </w:p>
        </w:tc>
        <w:tc>
          <w:tcPr>
            <w:tcW w:w="1503" w:type="dxa"/>
          </w:tcPr>
          <w:p w:rsidR="0022780A" w:rsidRPr="00942FD0" w:rsidRDefault="00D13CB5" w:rsidP="0022780A">
            <w:pPr>
              <w:widowControl w:val="0"/>
              <w:outlineLvl w:val="0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5598" w:type="dxa"/>
          </w:tcPr>
          <w:p w:rsidR="00D92798" w:rsidRDefault="00D92798" w:rsidP="00D92798">
            <w:pPr>
              <w:rPr>
                <w:rFonts w:ascii="Verdana" w:hAnsi="Verdana"/>
              </w:rPr>
            </w:pPr>
            <w:r w:rsidRPr="00D92798">
              <w:rPr>
                <w:rFonts w:ascii="Verdana" w:hAnsi="Verdana"/>
                <w:lang w:val="lt-LT"/>
              </w:rPr>
              <w:t xml:space="preserve">Šiaulių miesto savivaldybės administracija rengė </w:t>
            </w:r>
            <w:bookmarkStart w:id="0" w:name="_Hlk215496060"/>
            <w:r w:rsidRPr="00D92798">
              <w:rPr>
                <w:rFonts w:ascii="Verdana" w:hAnsi="Verdana"/>
                <w:lang w:val="lt-LT"/>
              </w:rPr>
              <w:t>ir derino Sveikatinimo paslaugų skyrimo ir finansavimo tikslinėms Šiaulių miesto savivaldybės gyventojų grupėms tvarkos apraš</w:t>
            </w:r>
            <w:bookmarkEnd w:id="0"/>
            <w:r w:rsidRPr="00D92798">
              <w:rPr>
                <w:rFonts w:ascii="Verdana" w:hAnsi="Verdana"/>
                <w:lang w:val="lt-LT"/>
              </w:rPr>
              <w:t xml:space="preserve">ą, kaip pagrindą Šiaulių miesto savivaldybės visuomenės sveikatos biurui pirkti SPA centro ir baseino paslaugas. </w:t>
            </w:r>
            <w:proofErr w:type="spellStart"/>
            <w:r>
              <w:rPr>
                <w:rFonts w:ascii="Verdana" w:hAnsi="Verdana"/>
              </w:rPr>
              <w:t>Aprašas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planuojamas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patvirtinti</w:t>
            </w:r>
            <w:proofErr w:type="spellEnd"/>
            <w:r>
              <w:rPr>
                <w:rFonts w:ascii="Verdana" w:hAnsi="Verdana"/>
              </w:rPr>
              <w:t xml:space="preserve"> 2026 m. </w:t>
            </w:r>
            <w:proofErr w:type="spellStart"/>
            <w:r>
              <w:rPr>
                <w:rFonts w:ascii="Verdana" w:hAnsi="Verdana"/>
              </w:rPr>
              <w:t>vasario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mėnesį</w:t>
            </w:r>
            <w:proofErr w:type="spellEnd"/>
            <w:r>
              <w:rPr>
                <w:rFonts w:ascii="Verdana" w:hAnsi="Verdana"/>
              </w:rPr>
              <w:t xml:space="preserve">.  </w:t>
            </w:r>
          </w:p>
          <w:p w:rsidR="0022780A" w:rsidRPr="00942FD0" w:rsidRDefault="0022780A" w:rsidP="0022780A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</w:tbl>
    <w:p w:rsidR="004B7965" w:rsidRPr="00942FD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p w:rsidR="004B7965" w:rsidRPr="00942FD0" w:rsidRDefault="004B7965" w:rsidP="002B2A32">
      <w:pPr>
        <w:pStyle w:val="Sraopastraipa"/>
        <w:numPr>
          <w:ilvl w:val="0"/>
          <w:numId w:val="4"/>
        </w:numPr>
        <w:rPr>
          <w:szCs w:val="24"/>
        </w:rPr>
      </w:pPr>
      <w:r w:rsidRPr="00942FD0">
        <w:rPr>
          <w:szCs w:val="24"/>
        </w:rPr>
        <w:t xml:space="preserve">Biudžeto išlaidų sąmatų vykdymas, kai yra viršyti patvirtinti asignavimai. </w:t>
      </w:r>
    </w:p>
    <w:p w:rsidR="004B7965" w:rsidRPr="00942FD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r w:rsidRPr="00942FD0">
        <w:rPr>
          <w:szCs w:val="24"/>
        </w:rPr>
        <w:t>(Reikšminga suma – 100 €)</w:t>
      </w: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r w:rsidRPr="00942FD0">
        <w:rPr>
          <w:szCs w:val="24"/>
        </w:rPr>
        <w:t>(Tikslumas – eurai, ct)</w:t>
      </w:r>
    </w:p>
    <w:p w:rsidR="005A2B1F" w:rsidRPr="00942FD0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348"/>
        <w:gridCol w:w="1390"/>
        <w:gridCol w:w="5953"/>
      </w:tblGrid>
      <w:tr w:rsidR="00F67EA0" w:rsidRPr="00942FD0" w:rsidTr="008C4365">
        <w:trPr>
          <w:tblHeader/>
        </w:trPr>
        <w:tc>
          <w:tcPr>
            <w:tcW w:w="845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Viršijimo priežastys</w:t>
            </w:r>
          </w:p>
        </w:tc>
      </w:tr>
      <w:tr w:rsidR="004B7965" w:rsidRPr="00942FD0" w:rsidTr="008C4365">
        <w:tc>
          <w:tcPr>
            <w:tcW w:w="845" w:type="dxa"/>
            <w:vAlign w:val="center"/>
          </w:tcPr>
          <w:p w:rsidR="004B7965" w:rsidRPr="00942FD0" w:rsidRDefault="005A5E7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:rsidR="004B7965" w:rsidRPr="00942FD0" w:rsidRDefault="005A5E7F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:rsidR="004B7965" w:rsidRPr="00942FD0" w:rsidRDefault="005A5E7F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E66BF6" w:rsidRDefault="005A5E7F" w:rsidP="004B7965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C27508" w:rsidRPr="00942FD0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4B7965" w:rsidRPr="00942FD0" w:rsidRDefault="004B7965" w:rsidP="002B2A32">
      <w:pPr>
        <w:pStyle w:val="Sraopastraipa"/>
        <w:numPr>
          <w:ilvl w:val="0"/>
          <w:numId w:val="5"/>
        </w:numPr>
        <w:rPr>
          <w:szCs w:val="24"/>
        </w:rPr>
      </w:pPr>
      <w:r w:rsidRPr="00942FD0">
        <w:rPr>
          <w:szCs w:val="24"/>
        </w:rPr>
        <w:t xml:space="preserve">Pagal paraiškas gauti ir nepanaudoti asignavimai. </w:t>
      </w: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bookmarkStart w:id="1" w:name="_Hlk121080642"/>
      <w:r w:rsidRPr="00942FD0">
        <w:rPr>
          <w:szCs w:val="24"/>
        </w:rPr>
        <w:t>(Reikšminga suma – 500 €)</w:t>
      </w:r>
    </w:p>
    <w:p w:rsidR="004B7965" w:rsidRPr="00942FD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942FD0">
        <w:rPr>
          <w:szCs w:val="24"/>
        </w:rPr>
        <w:t>(Tikslumas – eurai, ct)</w:t>
      </w:r>
    </w:p>
    <w:p w:rsidR="004B7965" w:rsidRPr="00942FD0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37"/>
        <w:gridCol w:w="1590"/>
        <w:gridCol w:w="1203"/>
        <w:gridCol w:w="5898"/>
      </w:tblGrid>
      <w:tr w:rsidR="00F67EA0" w:rsidRPr="00942FD0" w:rsidTr="00A83DB1">
        <w:trPr>
          <w:tblHeader/>
        </w:trPr>
        <w:tc>
          <w:tcPr>
            <w:tcW w:w="837" w:type="dxa"/>
            <w:vAlign w:val="center"/>
          </w:tcPr>
          <w:bookmarkEnd w:id="1"/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116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Išlaidų straipsnis</w:t>
            </w:r>
          </w:p>
        </w:tc>
        <w:tc>
          <w:tcPr>
            <w:tcW w:w="6314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Nepanaudojimo priežastys</w:t>
            </w:r>
          </w:p>
        </w:tc>
      </w:tr>
      <w:tr w:rsidR="004B7965" w:rsidRPr="00942FD0" w:rsidTr="00A83DB1">
        <w:trPr>
          <w:trHeight w:val="298"/>
        </w:trPr>
        <w:tc>
          <w:tcPr>
            <w:tcW w:w="837" w:type="dxa"/>
          </w:tcPr>
          <w:p w:rsidR="004B7965" w:rsidRPr="00942FD0" w:rsidRDefault="0003759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:rsidR="004B7965" w:rsidRPr="00942FD0" w:rsidRDefault="0003759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116" w:type="dxa"/>
          </w:tcPr>
          <w:p w:rsidR="004B7965" w:rsidRPr="00942FD0" w:rsidRDefault="0003759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14" w:type="dxa"/>
          </w:tcPr>
          <w:p w:rsidR="004B7965" w:rsidRPr="00942FD0" w:rsidRDefault="0003759D" w:rsidP="001A36BA">
            <w:pPr>
              <w:widowControl w:val="0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FA3753" w:rsidRDefault="00FA3753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:rsidR="009972FA" w:rsidRPr="00942FD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942FD0">
        <w:rPr>
          <w:b/>
          <w:bCs/>
          <w:szCs w:val="24"/>
          <w:lang w:eastAsia="lt-LT"/>
        </w:rPr>
        <w:t>V SKYRIUS</w:t>
      </w:r>
    </w:p>
    <w:p w:rsidR="009972FA" w:rsidRPr="00942FD0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942FD0">
        <w:rPr>
          <w:b/>
          <w:bCs/>
          <w:szCs w:val="24"/>
          <w:lang w:eastAsia="lt-LT"/>
        </w:rPr>
        <w:t>KITA INFORMACIJA</w:t>
      </w:r>
    </w:p>
    <w:p w:rsidR="009972FA" w:rsidRPr="00942FD0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942FD0" w:rsidRDefault="00716DD0" w:rsidP="002B2A32">
      <w:pPr>
        <w:pStyle w:val="Sraopastraipa"/>
        <w:widowControl w:val="0"/>
        <w:numPr>
          <w:ilvl w:val="0"/>
          <w:numId w:val="6"/>
        </w:numPr>
        <w:jc w:val="both"/>
        <w:rPr>
          <w:bCs/>
          <w:szCs w:val="24"/>
        </w:rPr>
      </w:pPr>
      <w:r w:rsidRPr="00942FD0">
        <w:rPr>
          <w:bCs/>
          <w:szCs w:val="24"/>
        </w:rPr>
        <w:t xml:space="preserve">Mokėtinos sumos </w:t>
      </w:r>
      <w:r w:rsidR="004B7965" w:rsidRPr="00942FD0">
        <w:rPr>
          <w:bCs/>
          <w:szCs w:val="24"/>
        </w:rPr>
        <w:t xml:space="preserve">2025 m. </w:t>
      </w:r>
      <w:r w:rsidR="005A5E7F">
        <w:rPr>
          <w:bCs/>
          <w:szCs w:val="24"/>
        </w:rPr>
        <w:t>gruodžio</w:t>
      </w:r>
      <w:r w:rsidR="004B7965" w:rsidRPr="00942FD0">
        <w:rPr>
          <w:bCs/>
          <w:szCs w:val="24"/>
        </w:rPr>
        <w:t xml:space="preserve"> 3</w:t>
      </w:r>
      <w:r w:rsidR="005A5E7F">
        <w:rPr>
          <w:bCs/>
          <w:szCs w:val="24"/>
        </w:rPr>
        <w:t>1</w:t>
      </w:r>
      <w:r w:rsidR="004B7965" w:rsidRPr="00942FD0">
        <w:rPr>
          <w:bCs/>
          <w:szCs w:val="24"/>
        </w:rPr>
        <w:t xml:space="preserve"> dienai  </w:t>
      </w:r>
      <w:r w:rsidR="004764DF">
        <w:rPr>
          <w:bCs/>
          <w:szCs w:val="24"/>
        </w:rPr>
        <w:t>17,78</w:t>
      </w:r>
      <w:r w:rsidR="004B7965" w:rsidRPr="00942FD0">
        <w:rPr>
          <w:bCs/>
          <w:szCs w:val="24"/>
        </w:rPr>
        <w:t>€, tame skaičiuje:</w:t>
      </w:r>
    </w:p>
    <w:p w:rsidR="004B7965" w:rsidRPr="00942FD0" w:rsidRDefault="004B7965" w:rsidP="004B7965">
      <w:pPr>
        <w:widowControl w:val="0"/>
        <w:jc w:val="right"/>
        <w:rPr>
          <w:bCs/>
          <w:szCs w:val="24"/>
        </w:rPr>
      </w:pPr>
      <w:r w:rsidRPr="00942FD0">
        <w:rPr>
          <w:bCs/>
          <w:szCs w:val="24"/>
        </w:rPr>
        <w:t>(Tikslumas – eurai, ct)</w:t>
      </w:r>
    </w:p>
    <w:p w:rsidR="00547CEA" w:rsidRPr="00942FD0" w:rsidRDefault="00547CEA" w:rsidP="004B7965">
      <w:pPr>
        <w:widowControl w:val="0"/>
        <w:jc w:val="right"/>
        <w:rPr>
          <w:bCs/>
          <w:szCs w:val="24"/>
        </w:rPr>
      </w:pP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4741"/>
        <w:gridCol w:w="264"/>
        <w:gridCol w:w="1374"/>
        <w:gridCol w:w="2687"/>
      </w:tblGrid>
      <w:tr w:rsidR="00DC55D4" w:rsidRPr="00942FD0" w:rsidTr="0003759D">
        <w:tc>
          <w:tcPr>
            <w:tcW w:w="5303" w:type="dxa"/>
            <w:gridSpan w:val="2"/>
            <w:tcBorders>
              <w:right w:val="nil"/>
            </w:tcBorders>
          </w:tcPr>
          <w:p w:rsidR="004B7965" w:rsidRPr="00942FD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Finansavimo šaltinis ir ekonominės klasifikacijos straipsnis</w:t>
            </w:r>
          </w:p>
        </w:tc>
        <w:tc>
          <w:tcPr>
            <w:tcW w:w="264" w:type="dxa"/>
            <w:tcBorders>
              <w:left w:val="nil"/>
            </w:tcBorders>
          </w:tcPr>
          <w:p w:rsidR="004B7965" w:rsidRPr="00942FD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1374" w:type="dxa"/>
            <w:tcBorders>
              <w:left w:val="nil"/>
              <w:right w:val="single" w:sz="4" w:space="0" w:color="auto"/>
            </w:tcBorders>
          </w:tcPr>
          <w:p w:rsidR="00716DD0" w:rsidRPr="00942FD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Suma</w:t>
            </w: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942FD0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Pastaba</w:t>
            </w:r>
          </w:p>
        </w:tc>
      </w:tr>
      <w:tr w:rsidR="00DC55D4" w:rsidRPr="00942FD0" w:rsidTr="0003759D">
        <w:tc>
          <w:tcPr>
            <w:tcW w:w="5303" w:type="dxa"/>
            <w:gridSpan w:val="2"/>
            <w:tcBorders>
              <w:right w:val="nil"/>
            </w:tcBorders>
          </w:tcPr>
          <w:p w:rsidR="004B7965" w:rsidRPr="00942FD0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14</w:t>
            </w:r>
            <w:r w:rsidR="00024A98"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2</w:t>
            </w:r>
            <w:r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  <w:r w:rsidR="00024A98"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Lėšos valstybinėms funkcijoms</w:t>
            </w:r>
          </w:p>
        </w:tc>
        <w:tc>
          <w:tcPr>
            <w:tcW w:w="264" w:type="dxa"/>
            <w:tcBorders>
              <w:left w:val="nil"/>
            </w:tcBorders>
          </w:tcPr>
          <w:p w:rsidR="004B7965" w:rsidRPr="00942FD0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74" w:type="dxa"/>
            <w:tcBorders>
              <w:left w:val="nil"/>
              <w:right w:val="single" w:sz="4" w:space="0" w:color="auto"/>
            </w:tcBorders>
          </w:tcPr>
          <w:p w:rsidR="004B7965" w:rsidRPr="00942FD0" w:rsidRDefault="004764DF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>0,22</w:t>
            </w: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942FD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AA7D9B" w:rsidRPr="00942FD0" w:rsidTr="005A5E7F">
        <w:tc>
          <w:tcPr>
            <w:tcW w:w="562" w:type="dxa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41" w:type="dxa"/>
            <w:tcBorders>
              <w:left w:val="nil"/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2.2.1.1.1.05. Ryšių įrangos ir paslaugų įsigijimo išlaidos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74" w:type="dxa"/>
            <w:tcBorders>
              <w:left w:val="nil"/>
              <w:right w:val="single" w:sz="4" w:space="0" w:color="auto"/>
            </w:tcBorders>
          </w:tcPr>
          <w:p w:rsidR="00AA7D9B" w:rsidRPr="00942FD0" w:rsidRDefault="005A5E7F" w:rsidP="00AA7D9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/>
                <w:sz w:val="24"/>
                <w:szCs w:val="24"/>
                <w:lang w:val="lt-LT"/>
              </w:rPr>
              <w:t>0,22</w:t>
            </w: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E36F2D" w:rsidP="00AA7D9B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Einamasis įsiskol</w:t>
            </w:r>
            <w:r>
              <w:rPr>
                <w:rFonts w:ascii="Times New Roman" w:hAnsi="Times New Roman"/>
                <w:sz w:val="24"/>
                <w:szCs w:val="24"/>
                <w:lang w:val="lt-LT"/>
              </w:rPr>
              <w:t>ini</w:t>
            </w: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mas už </w:t>
            </w:r>
            <w:r w:rsidR="005A5E7F">
              <w:rPr>
                <w:rFonts w:ascii="Times New Roman" w:hAnsi="Times New Roman"/>
                <w:sz w:val="24"/>
                <w:szCs w:val="24"/>
                <w:lang w:val="lt-LT"/>
              </w:rPr>
              <w:t>12</w:t>
            </w:r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942FD0">
              <w:rPr>
                <w:rFonts w:ascii="Times New Roman" w:hAnsi="Times New Roman"/>
                <w:sz w:val="24"/>
                <w:szCs w:val="24"/>
                <w:lang w:val="lt-LT"/>
              </w:rPr>
              <w:t>mėn</w:t>
            </w:r>
            <w:proofErr w:type="spellEnd"/>
          </w:p>
        </w:tc>
      </w:tr>
      <w:tr w:rsidR="00AA7D9B" w:rsidRPr="00942FD0" w:rsidTr="0003759D">
        <w:trPr>
          <w:trHeight w:val="436"/>
        </w:trPr>
        <w:tc>
          <w:tcPr>
            <w:tcW w:w="5303" w:type="dxa"/>
            <w:gridSpan w:val="2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lt-LT"/>
              </w:rPr>
              <w:t>151    Savivaldybės biudžeto lėšos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74" w:type="dxa"/>
            <w:tcBorders>
              <w:left w:val="nil"/>
              <w:right w:val="single" w:sz="4" w:space="0" w:color="auto"/>
            </w:tcBorders>
          </w:tcPr>
          <w:p w:rsidR="00AA7D9B" w:rsidRPr="00942FD0" w:rsidRDefault="004764DF" w:rsidP="00AA7D9B">
            <w:pPr>
              <w:widowControl w:val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lt-LT"/>
              </w:rPr>
              <w:t>17,56</w:t>
            </w: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</w:tr>
      <w:tr w:rsidR="00AA7D9B" w:rsidRPr="00942FD0" w:rsidTr="005A5E7F">
        <w:tc>
          <w:tcPr>
            <w:tcW w:w="562" w:type="dxa"/>
            <w:tcBorders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4741" w:type="dxa"/>
            <w:tcBorders>
              <w:left w:val="nil"/>
              <w:right w:val="nil"/>
            </w:tcBorders>
          </w:tcPr>
          <w:p w:rsidR="00AA7D9B" w:rsidRPr="00942FD0" w:rsidRDefault="00AA7D9B" w:rsidP="00AA7D9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2.1.2.1.1.1. Socialinio draudimo įmokos</w:t>
            </w:r>
          </w:p>
        </w:tc>
        <w:tc>
          <w:tcPr>
            <w:tcW w:w="264" w:type="dxa"/>
            <w:tcBorders>
              <w:left w:val="nil"/>
            </w:tcBorders>
          </w:tcPr>
          <w:p w:rsidR="00AA7D9B" w:rsidRPr="00942FD0" w:rsidRDefault="00AA7D9B" w:rsidP="00AA7D9B">
            <w:pPr>
              <w:widowControl w:val="0"/>
              <w:jc w:val="right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1374" w:type="dxa"/>
            <w:tcBorders>
              <w:left w:val="nil"/>
              <w:right w:val="single" w:sz="4" w:space="0" w:color="auto"/>
            </w:tcBorders>
          </w:tcPr>
          <w:p w:rsidR="00AA7D9B" w:rsidRPr="00942FD0" w:rsidRDefault="004764DF" w:rsidP="0080469C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17,56</w:t>
            </w:r>
          </w:p>
        </w:tc>
        <w:tc>
          <w:tcPr>
            <w:tcW w:w="2687" w:type="dxa"/>
            <w:tcBorders>
              <w:left w:val="single" w:sz="4" w:space="0" w:color="auto"/>
              <w:right w:val="single" w:sz="4" w:space="0" w:color="auto"/>
            </w:tcBorders>
          </w:tcPr>
          <w:p w:rsidR="00AA7D9B" w:rsidRPr="00942FD0" w:rsidRDefault="002F143D" w:rsidP="00AA7D9B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MMA</w:t>
            </w:r>
            <w:r w:rsidR="00AA7D9B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 yra išmokamas sekančio mėnesio 8-10 d</w:t>
            </w:r>
          </w:p>
        </w:tc>
      </w:tr>
    </w:tbl>
    <w:p w:rsidR="004B7965" w:rsidRPr="00942FD0" w:rsidRDefault="004B7965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942FD0" w:rsidTr="008C4365">
        <w:tc>
          <w:tcPr>
            <w:tcW w:w="9962" w:type="dxa"/>
          </w:tcPr>
          <w:p w:rsidR="004B7965" w:rsidRPr="00942FD0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942FD0" w:rsidTr="008C4365">
        <w:tc>
          <w:tcPr>
            <w:tcW w:w="9962" w:type="dxa"/>
          </w:tcPr>
          <w:p w:rsidR="004B7965" w:rsidRPr="00942FD0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Pr="00942FD0" w:rsidRDefault="004B7965" w:rsidP="004B7965">
      <w:pPr>
        <w:spacing w:after="160" w:line="259" w:lineRule="auto"/>
        <w:rPr>
          <w:szCs w:val="24"/>
        </w:rPr>
      </w:pPr>
    </w:p>
    <w:p w:rsidR="004B7965" w:rsidRPr="00942FD0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942FD0">
        <w:rPr>
          <w:szCs w:val="24"/>
        </w:rPr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r w:rsidRPr="00942FD0">
        <w:rPr>
          <w:szCs w:val="24"/>
        </w:rPr>
        <w:t xml:space="preserve">(Tikslumas – eurai, ct) </w:t>
      </w:r>
    </w:p>
    <w:p w:rsidR="00547CEA" w:rsidRPr="00942FD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70"/>
        <w:gridCol w:w="2501"/>
        <w:gridCol w:w="1397"/>
        <w:gridCol w:w="2064"/>
        <w:gridCol w:w="3096"/>
      </w:tblGrid>
      <w:tr w:rsidR="00F67EA0" w:rsidRPr="00942FD0" w:rsidTr="008C4365">
        <w:tc>
          <w:tcPr>
            <w:tcW w:w="511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 w:eastAsia="lt-LT"/>
              </w:rPr>
              <w:t>Likučio susidarymo priežastys</w:t>
            </w:r>
          </w:p>
        </w:tc>
      </w:tr>
      <w:tr w:rsidR="00F67EA0" w:rsidRPr="00942FD0" w:rsidTr="008C4365">
        <w:tc>
          <w:tcPr>
            <w:tcW w:w="511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942FD0" w:rsidRDefault="004764DF" w:rsidP="002B2A32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F67EA0" w:rsidRPr="00942FD0" w:rsidTr="008C4365">
        <w:tc>
          <w:tcPr>
            <w:tcW w:w="511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942FD0" w:rsidRDefault="003B1BF7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  <w:tr w:rsidR="004B7965" w:rsidRPr="00942FD0" w:rsidTr="008C4365">
        <w:tc>
          <w:tcPr>
            <w:tcW w:w="511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:rsidR="004B7965" w:rsidRPr="00942FD0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942FD0" w:rsidRDefault="0080469C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:rsidR="004B7965" w:rsidRPr="00942FD0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  <w:lang w:val="lt-LT"/>
              </w:rPr>
            </w:pPr>
          </w:p>
        </w:tc>
      </w:tr>
    </w:tbl>
    <w:p w:rsidR="004B7965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FA3753" w:rsidRPr="00942FD0" w:rsidRDefault="00FA3753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942FD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942FD0">
        <w:rPr>
          <w:szCs w:val="24"/>
        </w:rPr>
        <w:t>Informacija apie kitus svarbius įvykius ir aplinkybes, kurie galėtų paveikti įstaigos veiklą.</w:t>
      </w:r>
    </w:p>
    <w:p w:rsidR="004B7965" w:rsidRPr="00942FD0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942FD0" w:rsidTr="008C4365">
        <w:tc>
          <w:tcPr>
            <w:tcW w:w="9962" w:type="dxa"/>
          </w:tcPr>
          <w:p w:rsidR="004B7965" w:rsidRPr="00942FD0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942FD0" w:rsidRDefault="004B7965" w:rsidP="004B7965">
      <w:pPr>
        <w:widowControl w:val="0"/>
        <w:jc w:val="both"/>
        <w:outlineLvl w:val="0"/>
        <w:rPr>
          <w:szCs w:val="24"/>
        </w:rPr>
      </w:pPr>
    </w:p>
    <w:p w:rsidR="00FA3753" w:rsidRPr="00FA3753" w:rsidRDefault="00FA3753" w:rsidP="00FA3753">
      <w:pPr>
        <w:widowControl w:val="0"/>
        <w:rPr>
          <w:szCs w:val="24"/>
        </w:rPr>
      </w:pPr>
    </w:p>
    <w:p w:rsidR="004B7965" w:rsidRPr="00942FD0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942FD0">
        <w:rPr>
          <w:szCs w:val="24"/>
        </w:rPr>
        <w:t>Informacija apie gautinas sumas.</w:t>
      </w:r>
    </w:p>
    <w:p w:rsidR="004B7965" w:rsidRPr="00942FD0" w:rsidRDefault="004B7965" w:rsidP="004B7965">
      <w:pPr>
        <w:widowControl w:val="0"/>
        <w:jc w:val="right"/>
        <w:outlineLvl w:val="0"/>
        <w:rPr>
          <w:szCs w:val="24"/>
        </w:rPr>
      </w:pPr>
      <w:r w:rsidRPr="00942FD0">
        <w:rPr>
          <w:szCs w:val="24"/>
        </w:rPr>
        <w:t>(Tikslumas – eurai, ct)</w:t>
      </w:r>
    </w:p>
    <w:p w:rsidR="00547CEA" w:rsidRPr="00942FD0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2"/>
        <w:gridCol w:w="2766"/>
      </w:tblGrid>
      <w:tr w:rsidR="00F67EA0" w:rsidRPr="00942FD0" w:rsidTr="008C4365">
        <w:tc>
          <w:tcPr>
            <w:tcW w:w="7083" w:type="dxa"/>
          </w:tcPr>
          <w:p w:rsidR="004B7965" w:rsidRPr="00942FD0" w:rsidRDefault="004B7965" w:rsidP="004B7965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942FD0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B7965" w:rsidRPr="00942FD0" w:rsidTr="008C4365">
        <w:tc>
          <w:tcPr>
            <w:tcW w:w="7083" w:type="dxa"/>
          </w:tcPr>
          <w:p w:rsidR="004B7965" w:rsidRPr="00942FD0" w:rsidRDefault="00222307" w:rsidP="00547CEA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942FD0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:rsidR="004B7965" w:rsidRPr="00942FD0" w:rsidRDefault="00D13CB5" w:rsidP="004B7965">
            <w:pPr>
              <w:widowControl w:val="0"/>
              <w:jc w:val="center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0,</w:t>
            </w:r>
            <w:r w:rsidR="00F21AAC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00</w:t>
            </w:r>
          </w:p>
        </w:tc>
      </w:tr>
      <w:tr w:rsidR="00FA3753" w:rsidRPr="00942FD0" w:rsidTr="008C4365">
        <w:tc>
          <w:tcPr>
            <w:tcW w:w="7083" w:type="dxa"/>
          </w:tcPr>
          <w:p w:rsidR="00FA3753" w:rsidRPr="00942FD0" w:rsidRDefault="00FA3753" w:rsidP="00547CEA">
            <w:pPr>
              <w:widowControl w:val="0"/>
              <w:rPr>
                <w:szCs w:val="24"/>
              </w:rPr>
            </w:pPr>
          </w:p>
        </w:tc>
        <w:tc>
          <w:tcPr>
            <w:tcW w:w="2835" w:type="dxa"/>
          </w:tcPr>
          <w:p w:rsidR="00FA3753" w:rsidRDefault="00FA3753" w:rsidP="004B7965">
            <w:pPr>
              <w:widowControl w:val="0"/>
              <w:jc w:val="center"/>
              <w:rPr>
                <w:szCs w:val="24"/>
              </w:rPr>
            </w:pPr>
          </w:p>
        </w:tc>
      </w:tr>
    </w:tbl>
    <w:p w:rsidR="004B7965" w:rsidRPr="00942FD0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942FD0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 xml:space="preserve">PRIEDAI: </w:t>
      </w:r>
    </w:p>
    <w:p w:rsidR="009972FA" w:rsidRPr="00942FD0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942FD0">
        <w:rPr>
          <w:i/>
          <w:iCs/>
          <w:szCs w:val="24"/>
          <w:lang w:eastAsia="lt-LT"/>
        </w:rPr>
        <w:t>1. Informacija apie biudžetinių įstaigų pajamas pagal 20</w:t>
      </w:r>
      <w:r w:rsidR="0090365B" w:rsidRPr="00942FD0">
        <w:rPr>
          <w:i/>
          <w:iCs/>
          <w:szCs w:val="24"/>
          <w:lang w:eastAsia="lt-LT"/>
        </w:rPr>
        <w:t>25</w:t>
      </w:r>
      <w:r w:rsidRPr="00942FD0">
        <w:rPr>
          <w:i/>
          <w:iCs/>
          <w:szCs w:val="24"/>
          <w:lang w:eastAsia="lt-LT"/>
        </w:rPr>
        <w:t> m. </w:t>
      </w:r>
      <w:r w:rsidR="004764DF">
        <w:rPr>
          <w:i/>
          <w:iCs/>
          <w:szCs w:val="24"/>
          <w:lang w:eastAsia="lt-LT"/>
        </w:rPr>
        <w:t>gruodžio</w:t>
      </w:r>
      <w:r w:rsidR="0090365B" w:rsidRPr="00942FD0">
        <w:rPr>
          <w:i/>
          <w:iCs/>
          <w:szCs w:val="24"/>
          <w:lang w:eastAsia="lt-LT"/>
        </w:rPr>
        <w:t xml:space="preserve"> 3</w:t>
      </w:r>
      <w:r w:rsidR="004764DF">
        <w:rPr>
          <w:i/>
          <w:iCs/>
          <w:szCs w:val="24"/>
          <w:lang w:eastAsia="lt-LT"/>
        </w:rPr>
        <w:t>1</w:t>
      </w:r>
      <w:r w:rsidRPr="00942FD0">
        <w:rPr>
          <w:i/>
          <w:iCs/>
          <w:szCs w:val="24"/>
          <w:lang w:eastAsia="lt-LT"/>
        </w:rPr>
        <w:t> d. duomenis</w:t>
      </w:r>
      <w:r w:rsidR="00141560" w:rsidRPr="00942FD0">
        <w:rPr>
          <w:i/>
          <w:iCs/>
          <w:szCs w:val="24"/>
          <w:lang w:eastAsia="lt-LT"/>
        </w:rPr>
        <w:t xml:space="preserve"> </w:t>
      </w:r>
      <w:r w:rsidRPr="00942FD0">
        <w:rPr>
          <w:i/>
          <w:iCs/>
          <w:szCs w:val="24"/>
          <w:lang w:eastAsia="lt-LT"/>
        </w:rPr>
        <w:t>(3 priedas).</w:t>
      </w:r>
    </w:p>
    <w:p w:rsidR="009972FA" w:rsidRPr="00942FD0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FA3753" w:rsidRDefault="00FA3753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FA3753" w:rsidRPr="00942FD0" w:rsidRDefault="00FA3753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942FD0" w:rsidRDefault="0041763B" w:rsidP="00303668">
      <w:pPr>
        <w:tabs>
          <w:tab w:val="left" w:pos="851"/>
        </w:tabs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>Direktor</w:t>
      </w:r>
      <w:r w:rsidR="009473B2" w:rsidRPr="00942FD0">
        <w:rPr>
          <w:szCs w:val="24"/>
          <w:lang w:eastAsia="lt-LT"/>
        </w:rPr>
        <w:t>ė</w:t>
      </w:r>
      <w:r w:rsidRPr="00942FD0">
        <w:rPr>
          <w:szCs w:val="24"/>
          <w:lang w:eastAsia="lt-LT"/>
        </w:rPr>
        <w:tab/>
      </w:r>
      <w:r w:rsidR="00164701" w:rsidRPr="00942FD0">
        <w:rPr>
          <w:caps/>
          <w:szCs w:val="24"/>
          <w:lang w:eastAsia="lt-LT"/>
        </w:rPr>
        <w:t xml:space="preserve">                                                                    </w:t>
      </w:r>
      <w:r w:rsidRPr="00942FD0">
        <w:rPr>
          <w:caps/>
          <w:szCs w:val="24"/>
          <w:lang w:eastAsia="lt-LT"/>
        </w:rPr>
        <w:t>______</w:t>
      </w:r>
      <w:r w:rsidR="00164701" w:rsidRPr="00942FD0">
        <w:rPr>
          <w:caps/>
          <w:szCs w:val="24"/>
          <w:lang w:eastAsia="lt-LT"/>
        </w:rPr>
        <w:t xml:space="preserve">                 </w:t>
      </w:r>
      <w:r w:rsidR="009473B2" w:rsidRPr="00942FD0">
        <w:rPr>
          <w:szCs w:val="24"/>
          <w:u w:val="single"/>
          <w:lang w:eastAsia="lt-LT"/>
        </w:rPr>
        <w:t>Henrieta Garbenienė</w:t>
      </w:r>
      <w:r w:rsidRPr="00942FD0">
        <w:rPr>
          <w:szCs w:val="24"/>
          <w:lang w:eastAsia="lt-LT"/>
        </w:rPr>
        <w:tab/>
      </w:r>
      <w:r w:rsidRPr="00942FD0">
        <w:rPr>
          <w:szCs w:val="24"/>
          <w:lang w:eastAsia="lt-LT"/>
        </w:rPr>
        <w:tab/>
      </w:r>
      <w:r w:rsidR="00547CEA" w:rsidRPr="00942FD0">
        <w:rPr>
          <w:szCs w:val="24"/>
          <w:lang w:eastAsia="lt-LT"/>
        </w:rPr>
        <w:t xml:space="preserve">       </w:t>
      </w:r>
      <w:r w:rsidR="00303668" w:rsidRPr="00942FD0">
        <w:rPr>
          <w:szCs w:val="24"/>
          <w:lang w:eastAsia="lt-LT"/>
        </w:rPr>
        <w:tab/>
      </w:r>
      <w:r w:rsidR="00303668" w:rsidRPr="00942FD0">
        <w:rPr>
          <w:szCs w:val="24"/>
          <w:lang w:eastAsia="lt-LT"/>
        </w:rPr>
        <w:tab/>
        <w:t xml:space="preserve">  </w:t>
      </w:r>
      <w:r w:rsidR="00164701" w:rsidRPr="00942FD0">
        <w:rPr>
          <w:szCs w:val="24"/>
          <w:lang w:eastAsia="lt-LT"/>
        </w:rPr>
        <w:t xml:space="preserve">                           </w:t>
      </w:r>
      <w:r w:rsidR="00303668" w:rsidRPr="00942FD0">
        <w:rPr>
          <w:szCs w:val="24"/>
          <w:lang w:eastAsia="lt-LT"/>
        </w:rPr>
        <w:t xml:space="preserve">  (parašas)</w:t>
      </w:r>
      <w:r w:rsidR="00303668" w:rsidRPr="00942FD0">
        <w:rPr>
          <w:szCs w:val="24"/>
          <w:lang w:eastAsia="lt-LT"/>
        </w:rPr>
        <w:tab/>
        <w:t xml:space="preserve">                    </w:t>
      </w:r>
      <w:r w:rsidR="00164701" w:rsidRPr="00942FD0">
        <w:rPr>
          <w:szCs w:val="24"/>
          <w:lang w:eastAsia="lt-LT"/>
        </w:rPr>
        <w:t xml:space="preserve">       </w:t>
      </w:r>
      <w:r w:rsidR="00303668" w:rsidRPr="00942FD0">
        <w:rPr>
          <w:szCs w:val="24"/>
          <w:lang w:eastAsia="lt-LT"/>
        </w:rPr>
        <w:t xml:space="preserve"> </w:t>
      </w:r>
      <w:r w:rsidRPr="00942FD0">
        <w:rPr>
          <w:szCs w:val="24"/>
          <w:lang w:eastAsia="lt-LT"/>
        </w:rPr>
        <w:t>(vardas ir pavardė)</w:t>
      </w:r>
      <w:r w:rsidR="00164701" w:rsidRPr="00942FD0">
        <w:rPr>
          <w:szCs w:val="24"/>
          <w:lang w:eastAsia="lt-LT"/>
        </w:rPr>
        <w:t xml:space="preserve">  </w:t>
      </w:r>
    </w:p>
    <w:p w:rsidR="009972FA" w:rsidRPr="00942FD0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942FD0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942FD0">
        <w:rPr>
          <w:szCs w:val="24"/>
          <w:lang w:eastAsia="lt-LT"/>
        </w:rPr>
        <w:t xml:space="preserve">Šiaulių apskaitos centro </w:t>
      </w:r>
      <w:r w:rsidR="00FA3753">
        <w:rPr>
          <w:szCs w:val="24"/>
          <w:lang w:eastAsia="lt-LT"/>
        </w:rPr>
        <w:t>v</w:t>
      </w:r>
      <w:r w:rsidRPr="00942FD0">
        <w:rPr>
          <w:szCs w:val="24"/>
          <w:lang w:eastAsia="lt-LT"/>
        </w:rPr>
        <w:t>yr. buhalterė</w:t>
      </w:r>
      <w:r w:rsidRPr="00942FD0">
        <w:rPr>
          <w:szCs w:val="24"/>
          <w:lang w:eastAsia="lt-LT"/>
        </w:rPr>
        <w:tab/>
        <w:t xml:space="preserve">          </w:t>
      </w:r>
      <w:r w:rsidRPr="00942FD0">
        <w:rPr>
          <w:szCs w:val="24"/>
          <w:lang w:eastAsia="lt-LT"/>
        </w:rPr>
        <w:tab/>
      </w:r>
      <w:r w:rsidRPr="00942FD0">
        <w:rPr>
          <w:caps/>
          <w:szCs w:val="24"/>
          <w:lang w:eastAsia="lt-LT"/>
        </w:rPr>
        <w:t xml:space="preserve">_____________          </w:t>
      </w:r>
      <w:r w:rsidRPr="00942FD0">
        <w:rPr>
          <w:szCs w:val="24"/>
          <w:u w:val="single"/>
          <w:lang w:eastAsia="lt-LT"/>
        </w:rPr>
        <w:t>Stanislava Vaičiulienė</w:t>
      </w:r>
    </w:p>
    <w:p w:rsidR="009972FA" w:rsidRPr="00942FD0" w:rsidRDefault="00410F9B">
      <w:pPr>
        <w:tabs>
          <w:tab w:val="left" w:pos="851"/>
        </w:tabs>
        <w:ind w:firstLine="3781"/>
        <w:jc w:val="both"/>
        <w:rPr>
          <w:szCs w:val="24"/>
          <w:lang w:eastAsia="lt-LT"/>
        </w:rPr>
      </w:pPr>
      <w:r w:rsidRPr="00942FD0">
        <w:rPr>
          <w:szCs w:val="24"/>
          <w:lang w:eastAsia="lt-LT"/>
        </w:rPr>
        <w:tab/>
      </w:r>
      <w:r w:rsidRPr="00942FD0">
        <w:rPr>
          <w:szCs w:val="24"/>
          <w:lang w:eastAsia="lt-LT"/>
        </w:rPr>
        <w:tab/>
      </w:r>
      <w:r w:rsidR="00547CEA" w:rsidRPr="00942FD0">
        <w:rPr>
          <w:szCs w:val="24"/>
          <w:lang w:eastAsia="lt-LT"/>
        </w:rPr>
        <w:t xml:space="preserve">         (parašas)</w:t>
      </w:r>
      <w:r w:rsidR="00547CEA" w:rsidRPr="00942FD0">
        <w:rPr>
          <w:szCs w:val="24"/>
          <w:lang w:eastAsia="lt-LT"/>
        </w:rPr>
        <w:tab/>
        <w:t xml:space="preserve">                            </w:t>
      </w:r>
      <w:r w:rsidRPr="00942FD0">
        <w:rPr>
          <w:szCs w:val="24"/>
          <w:lang w:eastAsia="lt-LT"/>
        </w:rPr>
        <w:t>(vardas ir pavardė)</w:t>
      </w:r>
    </w:p>
    <w:p w:rsidR="009972FA" w:rsidRPr="00942FD0" w:rsidRDefault="009972FA" w:rsidP="00504206">
      <w:pPr>
        <w:tabs>
          <w:tab w:val="left" w:pos="851"/>
        </w:tabs>
        <w:rPr>
          <w:caps/>
          <w:szCs w:val="24"/>
          <w:lang w:eastAsia="lt-LT"/>
        </w:rPr>
      </w:pPr>
      <w:bookmarkStart w:id="5" w:name="_GoBack"/>
      <w:bookmarkEnd w:id="5"/>
    </w:p>
    <w:sectPr w:rsidR="009972FA" w:rsidRPr="00942F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71F" w:rsidRDefault="0067571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67571F" w:rsidRDefault="0067571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71F" w:rsidRDefault="0067571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67571F" w:rsidRDefault="0067571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5397A88"/>
    <w:multiLevelType w:val="hybridMultilevel"/>
    <w:tmpl w:val="05AE50FA"/>
    <w:lvl w:ilvl="0" w:tplc="D26406B0">
      <w:start w:val="2"/>
      <w:numFmt w:val="decimal"/>
      <w:lvlText w:val="%1."/>
      <w:lvlJc w:val="left"/>
      <w:pPr>
        <w:ind w:left="1353" w:hanging="360"/>
      </w:pPr>
      <w:rPr>
        <w:rFonts w:eastAsia="Calibri"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6EC4D16"/>
    <w:multiLevelType w:val="hybridMultilevel"/>
    <w:tmpl w:val="7F7C4934"/>
    <w:lvl w:ilvl="0" w:tplc="CB74B064">
      <w:start w:val="2"/>
      <w:numFmt w:val="decimal"/>
      <w:lvlText w:val="%1."/>
      <w:lvlJc w:val="left"/>
      <w:pPr>
        <w:ind w:left="1353" w:hanging="360"/>
      </w:pPr>
      <w:rPr>
        <w:rFonts w:eastAsia="Calibri"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DC56226"/>
    <w:multiLevelType w:val="multilevel"/>
    <w:tmpl w:val="073A7CB8"/>
    <w:lvl w:ilvl="0">
      <w:start w:val="2"/>
      <w:numFmt w:val="decimal"/>
      <w:lvlText w:val="%1."/>
      <w:lvlJc w:val="left"/>
      <w:pPr>
        <w:ind w:left="1353" w:hanging="360"/>
      </w:pPr>
      <w:rPr>
        <w:rFonts w:eastAsia="Calibri" w:hint="default"/>
        <w:sz w:val="22"/>
      </w:rPr>
    </w:lvl>
    <w:lvl w:ilvl="1">
      <w:start w:val="2"/>
      <w:numFmt w:val="decimal"/>
      <w:isLgl/>
      <w:lvlText w:val="%1.%2."/>
      <w:lvlJc w:val="left"/>
      <w:pPr>
        <w:ind w:left="208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8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95"/>
      </w:pPr>
      <w:rPr>
        <w:rFonts w:hint="default"/>
      </w:rPr>
    </w:lvl>
    <w:lvl w:ilvl="5">
      <w:start w:val="2"/>
      <w:numFmt w:val="decimalZero"/>
      <w:isLgl/>
      <w:lvlText w:val="%1.%2.%3.%4.%5.%6."/>
      <w:lvlJc w:val="left"/>
      <w:pPr>
        <w:ind w:left="2088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4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D1D45"/>
    <w:multiLevelType w:val="hybridMultilevel"/>
    <w:tmpl w:val="7A50C992"/>
    <w:lvl w:ilvl="0" w:tplc="5F944586">
      <w:start w:val="2"/>
      <w:numFmt w:val="decimal"/>
      <w:lvlText w:val="%1."/>
      <w:lvlJc w:val="left"/>
      <w:pPr>
        <w:ind w:left="1353" w:hanging="360"/>
      </w:pPr>
      <w:rPr>
        <w:rFonts w:eastAsia="Calibri"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24A98"/>
    <w:rsid w:val="0003759D"/>
    <w:rsid w:val="0005368D"/>
    <w:rsid w:val="0008102D"/>
    <w:rsid w:val="00083AAD"/>
    <w:rsid w:val="00094D29"/>
    <w:rsid w:val="000B42DD"/>
    <w:rsid w:val="000C1159"/>
    <w:rsid w:val="000E6FE5"/>
    <w:rsid w:val="001069B4"/>
    <w:rsid w:val="001100ED"/>
    <w:rsid w:val="0011252D"/>
    <w:rsid w:val="0013691D"/>
    <w:rsid w:val="00141560"/>
    <w:rsid w:val="00164701"/>
    <w:rsid w:val="001824C4"/>
    <w:rsid w:val="00193650"/>
    <w:rsid w:val="001A36BA"/>
    <w:rsid w:val="001B2786"/>
    <w:rsid w:val="001B75F9"/>
    <w:rsid w:val="001C6C8D"/>
    <w:rsid w:val="001D4C79"/>
    <w:rsid w:val="001E0809"/>
    <w:rsid w:val="001E262B"/>
    <w:rsid w:val="002150A2"/>
    <w:rsid w:val="00222307"/>
    <w:rsid w:val="0022780A"/>
    <w:rsid w:val="00245C99"/>
    <w:rsid w:val="0028535A"/>
    <w:rsid w:val="002A385D"/>
    <w:rsid w:val="002B2A32"/>
    <w:rsid w:val="002D7BDB"/>
    <w:rsid w:val="002E7FE0"/>
    <w:rsid w:val="002F127A"/>
    <w:rsid w:val="002F143D"/>
    <w:rsid w:val="00303668"/>
    <w:rsid w:val="00323B61"/>
    <w:rsid w:val="00337892"/>
    <w:rsid w:val="003B1BF7"/>
    <w:rsid w:val="003C507C"/>
    <w:rsid w:val="003C545A"/>
    <w:rsid w:val="003C6AE5"/>
    <w:rsid w:val="003E086F"/>
    <w:rsid w:val="003F6EAD"/>
    <w:rsid w:val="00410F9B"/>
    <w:rsid w:val="00416E84"/>
    <w:rsid w:val="0041763B"/>
    <w:rsid w:val="004764DF"/>
    <w:rsid w:val="004B5C77"/>
    <w:rsid w:val="004B7965"/>
    <w:rsid w:val="004E29EB"/>
    <w:rsid w:val="004F511D"/>
    <w:rsid w:val="004F5C84"/>
    <w:rsid w:val="00504206"/>
    <w:rsid w:val="00547CEA"/>
    <w:rsid w:val="00552ABE"/>
    <w:rsid w:val="0055560D"/>
    <w:rsid w:val="0059414C"/>
    <w:rsid w:val="005A2B1F"/>
    <w:rsid w:val="005A5E7F"/>
    <w:rsid w:val="005B0948"/>
    <w:rsid w:val="005B1487"/>
    <w:rsid w:val="005E13D1"/>
    <w:rsid w:val="00607D9D"/>
    <w:rsid w:val="00610222"/>
    <w:rsid w:val="00611D4D"/>
    <w:rsid w:val="00612901"/>
    <w:rsid w:val="006550C5"/>
    <w:rsid w:val="00661ADD"/>
    <w:rsid w:val="00665C52"/>
    <w:rsid w:val="006731C4"/>
    <w:rsid w:val="0067571F"/>
    <w:rsid w:val="006F7054"/>
    <w:rsid w:val="00716DD0"/>
    <w:rsid w:val="007323DF"/>
    <w:rsid w:val="0075224B"/>
    <w:rsid w:val="00772B1B"/>
    <w:rsid w:val="0077519D"/>
    <w:rsid w:val="00777DA4"/>
    <w:rsid w:val="0080469C"/>
    <w:rsid w:val="00812BA0"/>
    <w:rsid w:val="00812E50"/>
    <w:rsid w:val="00831FAE"/>
    <w:rsid w:val="00843D14"/>
    <w:rsid w:val="00844AA7"/>
    <w:rsid w:val="00847ED9"/>
    <w:rsid w:val="008517CD"/>
    <w:rsid w:val="008A3B36"/>
    <w:rsid w:val="008D0018"/>
    <w:rsid w:val="0090365B"/>
    <w:rsid w:val="00904B58"/>
    <w:rsid w:val="009079E4"/>
    <w:rsid w:val="00912145"/>
    <w:rsid w:val="009168D7"/>
    <w:rsid w:val="00921AD7"/>
    <w:rsid w:val="0093799F"/>
    <w:rsid w:val="00942FD0"/>
    <w:rsid w:val="009473B2"/>
    <w:rsid w:val="00991184"/>
    <w:rsid w:val="009972FA"/>
    <w:rsid w:val="009A1A2D"/>
    <w:rsid w:val="009D4092"/>
    <w:rsid w:val="00A42558"/>
    <w:rsid w:val="00A83DB1"/>
    <w:rsid w:val="00A92C2D"/>
    <w:rsid w:val="00AA7D9B"/>
    <w:rsid w:val="00AB2A97"/>
    <w:rsid w:val="00AC1DD7"/>
    <w:rsid w:val="00AC6176"/>
    <w:rsid w:val="00AE055A"/>
    <w:rsid w:val="00B117C3"/>
    <w:rsid w:val="00B13272"/>
    <w:rsid w:val="00B27964"/>
    <w:rsid w:val="00B34E4C"/>
    <w:rsid w:val="00B450FB"/>
    <w:rsid w:val="00B57B9C"/>
    <w:rsid w:val="00B85988"/>
    <w:rsid w:val="00BD1245"/>
    <w:rsid w:val="00C047F6"/>
    <w:rsid w:val="00C22EB4"/>
    <w:rsid w:val="00C27508"/>
    <w:rsid w:val="00C37D1E"/>
    <w:rsid w:val="00C4239D"/>
    <w:rsid w:val="00C808A9"/>
    <w:rsid w:val="00C80D08"/>
    <w:rsid w:val="00C849E4"/>
    <w:rsid w:val="00CC3E87"/>
    <w:rsid w:val="00CE725E"/>
    <w:rsid w:val="00D11CDF"/>
    <w:rsid w:val="00D13CB5"/>
    <w:rsid w:val="00D1435A"/>
    <w:rsid w:val="00D24420"/>
    <w:rsid w:val="00D31E54"/>
    <w:rsid w:val="00D4015C"/>
    <w:rsid w:val="00D43755"/>
    <w:rsid w:val="00D563A2"/>
    <w:rsid w:val="00D604C6"/>
    <w:rsid w:val="00D861EF"/>
    <w:rsid w:val="00D92798"/>
    <w:rsid w:val="00DA52F9"/>
    <w:rsid w:val="00DB67F6"/>
    <w:rsid w:val="00DB69ED"/>
    <w:rsid w:val="00DC241B"/>
    <w:rsid w:val="00DC55D4"/>
    <w:rsid w:val="00DC56DF"/>
    <w:rsid w:val="00DD394C"/>
    <w:rsid w:val="00DD4022"/>
    <w:rsid w:val="00DD47C5"/>
    <w:rsid w:val="00DE5528"/>
    <w:rsid w:val="00DF304E"/>
    <w:rsid w:val="00DF56F9"/>
    <w:rsid w:val="00E23641"/>
    <w:rsid w:val="00E36F2D"/>
    <w:rsid w:val="00E66BF6"/>
    <w:rsid w:val="00E713F4"/>
    <w:rsid w:val="00E769C6"/>
    <w:rsid w:val="00E92743"/>
    <w:rsid w:val="00E94036"/>
    <w:rsid w:val="00E95156"/>
    <w:rsid w:val="00E955B9"/>
    <w:rsid w:val="00EA23C6"/>
    <w:rsid w:val="00EA2A3E"/>
    <w:rsid w:val="00EE06A5"/>
    <w:rsid w:val="00EF5EB1"/>
    <w:rsid w:val="00F07920"/>
    <w:rsid w:val="00F21AAC"/>
    <w:rsid w:val="00F67EA0"/>
    <w:rsid w:val="00F95E48"/>
    <w:rsid w:val="00FA3753"/>
    <w:rsid w:val="00FA5CDC"/>
    <w:rsid w:val="00FB707E"/>
    <w:rsid w:val="00FE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9E3343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A2005-7945-4C04-8110-975D534B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3206</Words>
  <Characters>1828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5024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2025-04-15T13:16:00Z</dcterms:created>
  <dc:creator>du</dc:creator>
  <cp:lastModifiedBy>PC31</cp:lastModifiedBy>
  <cp:lastPrinted>2017-01-09T14:11:00Z</cp:lastPrinted>
  <dcterms:modified xsi:type="dcterms:W3CDTF">2026-01-19T07:19:00Z</dcterms:modified>
  <cp:revision>17</cp:revision>
</cp:coreProperties>
</file>